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DA5F73">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3190" w:rsidRPr="009E3190">
        <w:rPr>
          <w:rFonts w:eastAsia="宋体" w:cs="Arial"/>
          <w:noProof w:val="0"/>
          <w:sz w:val="24"/>
          <w:szCs w:val="24"/>
        </w:rPr>
        <w:t>R4-21</w:t>
      </w:r>
      <w:r w:rsidR="00DA5F73">
        <w:rPr>
          <w:rFonts w:eastAsia="宋体" w:cs="Arial"/>
          <w:noProof w:val="0"/>
          <w:sz w:val="24"/>
          <w:szCs w:val="24"/>
          <w:lang w:eastAsia="zh-CN"/>
        </w:rPr>
        <w:t>1</w:t>
      </w:r>
      <w:r w:rsidR="001C078E">
        <w:rPr>
          <w:rFonts w:eastAsia="宋体" w:cs="Arial"/>
          <w:noProof w:val="0"/>
          <w:sz w:val="24"/>
          <w:szCs w:val="24"/>
          <w:lang w:eastAsia="zh-CN"/>
        </w:rPr>
        <w:t>9095</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F56118">
        <w:rPr>
          <w:rFonts w:ascii="Arial" w:eastAsia="宋体" w:hAnsi="Arial" w:cs="Arial"/>
          <w:b/>
          <w:sz w:val="24"/>
          <w:szCs w:val="24"/>
          <w:lang w:eastAsia="zh-CN"/>
        </w:rPr>
        <w:t>Nov</w:t>
      </w:r>
      <w:r w:rsidR="00F56118">
        <w:rPr>
          <w:rFonts w:ascii="Arial" w:eastAsia="宋体" w:hAnsi="Arial" w:cs="Arial"/>
          <w:b/>
          <w:sz w:val="24"/>
          <w:szCs w:val="24"/>
        </w:rPr>
        <w:t xml:space="preserve"> 1</w:t>
      </w:r>
      <w:r w:rsidR="00F56118">
        <w:rPr>
          <w:rFonts w:ascii="Arial" w:eastAsia="宋体" w:hAnsi="Arial" w:cs="Arial"/>
          <w:b/>
          <w:sz w:val="24"/>
          <w:szCs w:val="24"/>
          <w:vertAlign w:val="superscript"/>
        </w:rPr>
        <w:t>st</w:t>
      </w:r>
      <w:r w:rsidR="00064637">
        <w:rPr>
          <w:rFonts w:ascii="Arial" w:eastAsia="宋体" w:hAnsi="Arial" w:cs="Arial"/>
          <w:b/>
          <w:sz w:val="24"/>
          <w:szCs w:val="24"/>
        </w:rPr>
        <w:t xml:space="preserve"> - </w:t>
      </w:r>
      <w:r w:rsidR="00F56118">
        <w:rPr>
          <w:rFonts w:ascii="Arial" w:eastAsia="宋体" w:hAnsi="Arial" w:cs="Arial"/>
          <w:b/>
          <w:sz w:val="24"/>
          <w:szCs w:val="24"/>
        </w:rPr>
        <w:t>12</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bookmarkStart w:id="4" w:name="_GoBack"/>
      <w:bookmarkEnd w:id="4"/>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35A71" w:rsidRPr="00E9645B">
        <w:rPr>
          <w:rFonts w:ascii="Arial" w:hAnsi="Arial" w:cs="Arial" w:hint="eastAsia"/>
          <w:sz w:val="22"/>
        </w:rPr>
        <w:t>Impact</w:t>
      </w:r>
      <w:r w:rsidR="00335A71">
        <w:rPr>
          <w:rFonts w:ascii="Arial" w:hAnsi="Arial" w:cs="Arial"/>
          <w:sz w:val="22"/>
        </w:rPr>
        <w:t xml:space="preserve"> to </w:t>
      </w:r>
      <w:r w:rsidR="00021AB7">
        <w:rPr>
          <w:rFonts w:ascii="Arial" w:hAnsi="Arial" w:cs="Arial"/>
          <w:sz w:val="22"/>
        </w:rPr>
        <w:t>RRM</w:t>
      </w:r>
      <w:r w:rsidR="00335A71">
        <w:rPr>
          <w:rFonts w:ascii="Arial" w:hAnsi="Arial" w:cs="Arial"/>
          <w:sz w:val="22"/>
        </w:rPr>
        <w:t xml:space="preserve"> </w:t>
      </w:r>
      <w:r w:rsidR="00335A71" w:rsidRPr="00E9645B">
        <w:rPr>
          <w:rFonts w:ascii="Arial" w:hAnsi="Arial" w:cs="Arial" w:hint="eastAsia"/>
          <w:sz w:val="22"/>
        </w:rPr>
        <w:t>requirements</w:t>
      </w:r>
      <w:r w:rsidR="00335A71">
        <w:rPr>
          <w:rFonts w:ascii="Arial" w:hAnsi="Arial" w:cs="Arial"/>
          <w:sz w:val="22"/>
        </w:rPr>
        <w:t xml:space="preserve"> </w:t>
      </w:r>
      <w:r w:rsidR="00335A71" w:rsidRPr="00E9645B">
        <w:rPr>
          <w:rFonts w:ascii="Arial" w:hAnsi="Arial" w:cs="Arial" w:hint="eastAsia"/>
          <w:sz w:val="22"/>
        </w:rPr>
        <w:t>for</w:t>
      </w:r>
      <w:r w:rsidR="00335A71" w:rsidRPr="008C1345">
        <w:rPr>
          <w:rFonts w:ascii="Arial" w:hAnsi="Arial" w:cs="Arial"/>
          <w:sz w:val="22"/>
        </w:rPr>
        <w:t xml:space="preserve"> </w:t>
      </w:r>
      <w:r w:rsidR="00F56118">
        <w:rPr>
          <w:rFonts w:ascii="Arial" w:hAnsi="Arial" w:cs="Arial"/>
          <w:sz w:val="22"/>
        </w:rPr>
        <w:t>inter-cell beam management</w:t>
      </w:r>
      <w:r w:rsidR="00335A71">
        <w:rPr>
          <w:rFonts w:ascii="Arial" w:hAnsi="Arial" w:cs="Arial"/>
          <w:sz w:val="22"/>
        </w:rPr>
        <w:t xml:space="preserve"> </w:t>
      </w:r>
      <w:r w:rsidR="00F56118">
        <w:rPr>
          <w:rFonts w:ascii="Arial" w:hAnsi="Arial" w:cs="Arial"/>
          <w:sz w:val="22"/>
        </w:rPr>
        <w:t>in</w:t>
      </w:r>
      <w:r w:rsidR="00335A71">
        <w:rPr>
          <w:rFonts w:ascii="Arial" w:hAnsi="Arial" w:cs="Arial"/>
          <w:sz w:val="22"/>
        </w:rPr>
        <w:t xml:space="preserve"> </w:t>
      </w:r>
      <w:r w:rsidR="00F56118">
        <w:rPr>
          <w:rFonts w:ascii="Arial" w:hAnsi="Arial" w:cs="Arial"/>
          <w:sz w:val="22"/>
        </w:rPr>
        <w:t>Fe</w:t>
      </w:r>
      <w:r w:rsidR="00335A71">
        <w:rPr>
          <w:rFonts w:ascii="Arial" w:hAnsi="Arial" w:cs="Arial"/>
          <w:sz w:val="22"/>
        </w:rPr>
        <w:t>MIMO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56118">
        <w:rPr>
          <w:rFonts w:ascii="Arial" w:hAnsi="Arial" w:cs="Arial"/>
          <w:sz w:val="22"/>
          <w:lang w:val="en-US"/>
        </w:rPr>
        <w:t>8</w:t>
      </w:r>
      <w:r w:rsidR="008C1345">
        <w:rPr>
          <w:rFonts w:ascii="Arial" w:hAnsi="Arial" w:cs="Arial"/>
          <w:sz w:val="22"/>
          <w:lang w:val="en-US"/>
        </w:rPr>
        <w:t>.1</w:t>
      </w:r>
      <w:r w:rsidR="00DA5F73">
        <w:rPr>
          <w:rFonts w:ascii="Arial" w:hAnsi="Arial" w:cs="Arial"/>
          <w:sz w:val="22"/>
          <w:lang w:val="en-US"/>
        </w:rPr>
        <w:t>9</w:t>
      </w:r>
      <w:r w:rsidR="008C1345">
        <w:rPr>
          <w:rFonts w:ascii="Arial" w:hAnsi="Arial" w:cs="Arial"/>
          <w:sz w:val="22"/>
          <w:lang w:val="en-US"/>
        </w:rPr>
        <w:t>.</w:t>
      </w:r>
      <w:r w:rsidR="00DA5F73">
        <w:rPr>
          <w:rFonts w:ascii="Arial" w:hAnsi="Arial" w:cs="Arial"/>
          <w:sz w:val="22"/>
          <w:lang w:val="en-US"/>
        </w:rPr>
        <w:t>3.</w:t>
      </w:r>
      <w:r w:rsidR="00F56118">
        <w:rPr>
          <w:rFonts w:ascii="Arial" w:hAnsi="Arial" w:cs="Arial"/>
          <w:sz w:val="22"/>
          <w:lang w:val="en-US"/>
        </w:rPr>
        <w:t>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214498" w:rsidRDefault="00214498" w:rsidP="00214498">
      <w:r w:rsidRPr="00DC682C">
        <w:t xml:space="preserve">In previous RAN4 meeting, </w:t>
      </w:r>
      <w:r>
        <w:t xml:space="preserve">overall impact to RRM requirements for unified TCI were discussed. WF [1] has been approved. </w:t>
      </w:r>
    </w:p>
    <w:tbl>
      <w:tblPr>
        <w:tblStyle w:val="aff0"/>
        <w:tblW w:w="0" w:type="auto"/>
        <w:tblLook w:val="04A0" w:firstRow="1" w:lastRow="0" w:firstColumn="1" w:lastColumn="0" w:noHBand="0" w:noVBand="1"/>
      </w:tblPr>
      <w:tblGrid>
        <w:gridCol w:w="9631"/>
      </w:tblGrid>
      <w:tr w:rsidR="00214498" w:rsidTr="00214498">
        <w:tc>
          <w:tcPr>
            <w:tcW w:w="9631" w:type="dxa"/>
          </w:tcPr>
          <w:p w:rsidR="00214498" w:rsidRPr="003F524C" w:rsidRDefault="00214498" w:rsidP="00214498">
            <w:pPr>
              <w:rPr>
                <w:rFonts w:eastAsiaTheme="minorEastAsia"/>
                <w:b/>
                <w:u w:val="single"/>
                <w:lang w:val="sv-SE" w:eastAsia="zh-CN"/>
              </w:rPr>
            </w:pPr>
            <w:r w:rsidRPr="003F524C">
              <w:rPr>
                <w:rFonts w:eastAsiaTheme="minorEastAsia"/>
                <w:b/>
                <w:u w:val="single"/>
                <w:lang w:val="sv-SE" w:eastAsia="zh-CN"/>
              </w:rPr>
              <w:t xml:space="preserve">Inter-cell beam management </w:t>
            </w:r>
          </w:p>
          <w:p w:rsidR="00214498" w:rsidRPr="00530CA0" w:rsidRDefault="00214498" w:rsidP="00214498">
            <w:pPr>
              <w:pStyle w:val="aff5"/>
              <w:numPr>
                <w:ilvl w:val="0"/>
                <w:numId w:val="38"/>
              </w:numPr>
              <w:overflowPunct/>
              <w:autoSpaceDE/>
              <w:autoSpaceDN/>
              <w:adjustRightInd/>
              <w:spacing w:after="120" w:line="252" w:lineRule="auto"/>
              <w:ind w:left="360"/>
              <w:contextualSpacing w:val="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requirements for non-serving cells </w:t>
            </w:r>
          </w:p>
          <w:p w:rsidR="00214498" w:rsidRPr="00530CA0" w:rsidRDefault="00214498" w:rsidP="00214498">
            <w:pPr>
              <w:pStyle w:val="aff5"/>
              <w:numPr>
                <w:ilvl w:val="0"/>
                <w:numId w:val="38"/>
              </w:numPr>
              <w:overflowPunct/>
              <w:autoSpaceDE/>
              <w:autoSpaceDN/>
              <w:adjustRightInd/>
              <w:spacing w:after="120" w:line="252" w:lineRule="auto"/>
              <w:ind w:left="360"/>
              <w:contextualSpacing w:val="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accuracy requirements for non-serving cells </w:t>
            </w:r>
          </w:p>
          <w:p w:rsidR="00214498" w:rsidRDefault="00214498" w:rsidP="00214498">
            <w:pPr>
              <w:pStyle w:val="aff5"/>
              <w:numPr>
                <w:ilvl w:val="0"/>
                <w:numId w:val="38"/>
              </w:numPr>
              <w:overflowPunct/>
              <w:autoSpaceDE/>
              <w:autoSpaceDN/>
              <w:adjustRightInd/>
              <w:spacing w:after="120" w:line="252" w:lineRule="auto"/>
              <w:ind w:left="360"/>
              <w:contextualSpacing w:val="0"/>
              <w:textAlignment w:val="auto"/>
              <w:rPr>
                <w:rFonts w:eastAsia="Calibri"/>
              </w:rPr>
            </w:pPr>
            <w:r w:rsidRPr="00530CA0">
              <w:rPr>
                <w:rFonts w:eastAsia="Calibri"/>
              </w:rPr>
              <w:t xml:space="preserve">For non-serving L1-RSRP measurement </w:t>
            </w:r>
            <w:r>
              <w:rPr>
                <w:rFonts w:eastAsia="Calibri"/>
              </w:rPr>
              <w:t>of</w:t>
            </w:r>
            <w:r w:rsidRPr="00530CA0">
              <w:rPr>
                <w:rFonts w:eastAsia="Calibri"/>
              </w:rPr>
              <w:t xml:space="preserve"> single panel</w:t>
            </w:r>
            <w:r>
              <w:rPr>
                <w:rFonts w:eastAsia="Calibri"/>
              </w:rPr>
              <w:t xml:space="preserve"> FR2 UE,</w:t>
            </w:r>
            <w:r w:rsidRPr="00530CA0">
              <w:rPr>
                <w:rFonts w:eastAsia="Calibri"/>
              </w:rPr>
              <w:t xml:space="preserve"> requirement</w:t>
            </w:r>
            <w:r>
              <w:rPr>
                <w:rFonts w:eastAsia="Calibri"/>
              </w:rPr>
              <w:t>s</w:t>
            </w:r>
            <w:r w:rsidRPr="00530CA0">
              <w:rPr>
                <w:rFonts w:eastAsia="Calibri"/>
              </w:rPr>
              <w:t xml:space="preserve"> will be applied if UE only measure L1-RSRP from one single cell at a time. </w:t>
            </w:r>
          </w:p>
          <w:p w:rsidR="00214498" w:rsidRDefault="00214498" w:rsidP="00214498">
            <w:pPr>
              <w:pStyle w:val="aff5"/>
              <w:numPr>
                <w:ilvl w:val="0"/>
                <w:numId w:val="38"/>
              </w:numPr>
              <w:overflowPunct/>
              <w:autoSpaceDE/>
              <w:autoSpaceDN/>
              <w:adjustRightInd/>
              <w:spacing w:after="120" w:line="252" w:lineRule="auto"/>
              <w:ind w:left="360"/>
              <w:contextualSpacing w:val="0"/>
              <w:textAlignment w:val="auto"/>
              <w:rPr>
                <w:rFonts w:eastAsia="Calibri"/>
              </w:rPr>
            </w:pPr>
            <w:r w:rsidRPr="00530CA0">
              <w:rPr>
                <w:rFonts w:eastAsia="Calibri"/>
              </w:rPr>
              <w:t>To guarantee UE’s mobility performance, RAN4 shall agree that PCell/PSCell’s L</w:t>
            </w:r>
            <w:r>
              <w:rPr>
                <w:rFonts w:eastAsia="Calibri"/>
              </w:rPr>
              <w:t>3</w:t>
            </w:r>
            <w:r w:rsidRPr="00530CA0">
              <w:rPr>
                <w:rFonts w:eastAsia="Calibri"/>
              </w:rPr>
              <w:t xml:space="preserve">-RSRP measurement delay shall not be impacted by NSC measurements. </w:t>
            </w:r>
            <w:r>
              <w:rPr>
                <w:rFonts w:eastAsia="Calibri"/>
              </w:rPr>
              <w:t>FFS UE measurement behaviour for L1-RSRP.</w:t>
            </w:r>
          </w:p>
          <w:p w:rsidR="00214498" w:rsidRPr="00214498" w:rsidRDefault="00214498" w:rsidP="00214498">
            <w:pPr>
              <w:pStyle w:val="aff5"/>
              <w:numPr>
                <w:ilvl w:val="0"/>
                <w:numId w:val="38"/>
              </w:numPr>
              <w:overflowPunct/>
              <w:autoSpaceDE/>
              <w:autoSpaceDN/>
              <w:adjustRightInd/>
              <w:spacing w:after="120" w:line="252" w:lineRule="auto"/>
              <w:ind w:left="360"/>
              <w:contextualSpacing w:val="0"/>
              <w:textAlignment w:val="auto"/>
              <w:rPr>
                <w:rFonts w:eastAsia="Calibri"/>
              </w:rPr>
            </w:pPr>
            <w:r>
              <w:rPr>
                <w:rFonts w:eastAsia="Calibri"/>
              </w:rPr>
              <w:t xml:space="preserve">RAN4 will further study if </w:t>
            </w:r>
            <w:r w:rsidRPr="00530CA0">
              <w:rPr>
                <w:rFonts w:eastAsia="Calibri"/>
              </w:rPr>
              <w:t xml:space="preserve">UE only performs L1-RSRP measurements on the identified non-serving cell(s) </w:t>
            </w:r>
          </w:p>
        </w:tc>
      </w:tr>
    </w:tbl>
    <w:p w:rsidR="00214498" w:rsidRDefault="00214498" w:rsidP="00214498">
      <w:r w:rsidRPr="00BE211D">
        <w:rPr>
          <w:rFonts w:hint="eastAsia"/>
        </w:rPr>
        <w:t>I</w:t>
      </w:r>
      <w:r w:rsidRPr="00BE211D">
        <w:t xml:space="preserve">n this contributions, the overall impact to RRM requirements </w:t>
      </w:r>
      <w:r>
        <w:t xml:space="preserve">for inter-cell beam management in FeMIMO has been provided based on the latest agreements in RAN1 and also existing RAN4 specifications.  </w:t>
      </w:r>
    </w:p>
    <w:p w:rsidR="006C3DB4" w:rsidRDefault="00FD75DD" w:rsidP="006C3DB4">
      <w:pPr>
        <w:pStyle w:val="1"/>
        <w:rPr>
          <w:rFonts w:eastAsia="宋体"/>
          <w:lang w:eastAsia="zh-CN"/>
        </w:rPr>
      </w:pPr>
      <w:r w:rsidRPr="00E14F5F">
        <w:rPr>
          <w:rFonts w:eastAsia="宋体"/>
          <w:lang w:eastAsia="zh-CN"/>
        </w:rPr>
        <w:t>Discussion</w:t>
      </w:r>
    </w:p>
    <w:p w:rsidR="00B85E7A" w:rsidRDefault="00B85E7A" w:rsidP="00335A71">
      <w:pPr>
        <w:rPr>
          <w:rFonts w:eastAsiaTheme="minorEastAsia"/>
          <w:lang w:eastAsia="zh-CN"/>
        </w:rPr>
      </w:pPr>
      <w:r>
        <w:rPr>
          <w:rFonts w:eastAsiaTheme="minorEastAsia" w:hint="eastAsia"/>
          <w:lang w:eastAsia="zh-CN"/>
        </w:rPr>
        <w:t>I</w:t>
      </w:r>
      <w:r>
        <w:rPr>
          <w:rFonts w:eastAsiaTheme="minorEastAsia"/>
          <w:lang w:eastAsia="zh-CN"/>
        </w:rPr>
        <w:t xml:space="preserve">t can be observed </w:t>
      </w:r>
      <w:r w:rsidR="00E54A60">
        <w:rPr>
          <w:rFonts w:eastAsiaTheme="minorEastAsia"/>
          <w:lang w:eastAsia="zh-CN"/>
        </w:rPr>
        <w:t xml:space="preserve">RAN1 has agreed on </w:t>
      </w:r>
      <w:r>
        <w:rPr>
          <w:rFonts w:eastAsiaTheme="minorEastAsia"/>
          <w:lang w:eastAsia="zh-CN"/>
        </w:rPr>
        <w:t xml:space="preserve">UE measurements capability for non-serving cell </w:t>
      </w:r>
      <w:r w:rsidR="00E54A60">
        <w:rPr>
          <w:rFonts w:eastAsiaTheme="minorEastAsia"/>
          <w:lang w:eastAsia="zh-CN"/>
        </w:rPr>
        <w:t xml:space="preserve">but still FFS for reporting quantity (besides SSB which has been agreed). For measurement requirements for </w:t>
      </w:r>
      <w:r w:rsidR="00E54A60">
        <w:rPr>
          <w:rFonts w:eastAsiaTheme="minorEastAsia" w:hint="eastAsia"/>
          <w:lang w:eastAsia="zh-CN"/>
        </w:rPr>
        <w:t>non</w:t>
      </w:r>
      <w:r w:rsidR="00E54A60">
        <w:rPr>
          <w:rFonts w:eastAsiaTheme="minorEastAsia"/>
          <w:lang w:eastAsia="zh-CN"/>
        </w:rPr>
        <w:t xml:space="preserve">-serving cell, it is our understanding, as similar as serving cell measurement, same requirements shall be applied within UE capability, e.g., the following descriptions can be considered for non-serving cell measurement </w:t>
      </w:r>
    </w:p>
    <w:p w:rsidR="00E54A60" w:rsidRPr="009C5807" w:rsidRDefault="00E54A60" w:rsidP="00E54A60">
      <w:r>
        <w:rPr>
          <w:rFonts w:eastAsiaTheme="minorEastAsia"/>
          <w:lang w:eastAsia="zh-CN"/>
        </w:rPr>
        <w:t>“</w:t>
      </w:r>
      <w:r w:rsidRPr="009C5807">
        <w:t>The UE shall be able to measure all CSI-RS resources and/or</w:t>
      </w:r>
      <w:r>
        <w:t xml:space="preserve"> SSB resources of </w:t>
      </w:r>
      <w:r w:rsidRPr="009C5807">
        <w:t xml:space="preserve">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w:t>
      </w:r>
      <w:r w:rsidRPr="00E54A60">
        <w:rPr>
          <w:highlight w:val="yellow"/>
        </w:rPr>
        <w:t>non-serving cells</w:t>
      </w:r>
      <w:r w:rsidRPr="009C5807">
        <w:t xml:space="preserve">, provided that the number of resources does not exceed the UE capability indicated by </w:t>
      </w:r>
      <w:r>
        <w:rPr>
          <w:i/>
        </w:rPr>
        <w:t>[RAN2 design on UE capability singnalling]</w:t>
      </w:r>
      <w:r w:rsidRPr="009C5807">
        <w:t>.</w:t>
      </w:r>
      <w:r>
        <w:t xml:space="preserve">” </w:t>
      </w:r>
    </w:p>
    <w:p w:rsidR="00E54A60" w:rsidRDefault="00E54A60" w:rsidP="00335A71">
      <w:pPr>
        <w:rPr>
          <w:rFonts w:eastAsiaTheme="minorEastAsia"/>
          <w:b/>
          <w:lang w:eastAsia="zh-CN"/>
        </w:rPr>
      </w:pPr>
      <w:r w:rsidRPr="00B775E6">
        <w:rPr>
          <w:rFonts w:eastAsiaTheme="minorEastAsia" w:hint="eastAsia"/>
          <w:b/>
          <w:lang w:eastAsia="zh-CN"/>
        </w:rPr>
        <w:t>P</w:t>
      </w:r>
      <w:r w:rsidRPr="00B775E6">
        <w:rPr>
          <w:rFonts w:eastAsiaTheme="minorEastAsia"/>
          <w:b/>
          <w:lang w:eastAsia="zh-CN"/>
        </w:rPr>
        <w:t xml:space="preserve">roposal </w:t>
      </w:r>
      <w:r w:rsidR="006D2E2C">
        <w:rPr>
          <w:rFonts w:eastAsiaTheme="minorEastAsia"/>
          <w:b/>
          <w:lang w:eastAsia="zh-CN"/>
        </w:rPr>
        <w:t>1</w:t>
      </w:r>
      <w:r w:rsidRPr="00B775E6">
        <w:rPr>
          <w:rFonts w:eastAsiaTheme="minorEastAsia"/>
          <w:b/>
          <w:lang w:eastAsia="zh-CN"/>
        </w:rPr>
        <w:t xml:space="preserve">: Measurements requirements for L1 non-serving cell measurement shall be applied </w:t>
      </w:r>
      <w:r w:rsidR="00B775E6" w:rsidRPr="00B775E6">
        <w:rPr>
          <w:rFonts w:eastAsiaTheme="minorEastAsia"/>
          <w:b/>
          <w:lang w:eastAsia="zh-CN"/>
        </w:rPr>
        <w:t>provided the number of RS does not exceed the UE capability</w:t>
      </w:r>
    </w:p>
    <w:p w:rsidR="00F274E0" w:rsidRDefault="004535FA" w:rsidP="00335A71">
      <w:pPr>
        <w:rPr>
          <w:rFonts w:eastAsiaTheme="minorEastAsia"/>
          <w:lang w:eastAsia="zh-CN"/>
        </w:rPr>
      </w:pPr>
      <w:r w:rsidRPr="004535FA">
        <w:rPr>
          <w:rFonts w:eastAsiaTheme="minorEastAsia" w:hint="eastAsia"/>
          <w:lang w:eastAsia="zh-CN"/>
        </w:rPr>
        <w:t>F</w:t>
      </w:r>
      <w:r w:rsidR="0021621C">
        <w:rPr>
          <w:rFonts w:eastAsiaTheme="minorEastAsia"/>
          <w:lang w:eastAsia="zh-CN"/>
        </w:rPr>
        <w:t>or detailed requirements</w:t>
      </w:r>
      <w:r>
        <w:rPr>
          <w:rFonts w:eastAsiaTheme="minorEastAsia"/>
          <w:lang w:eastAsia="zh-CN"/>
        </w:rPr>
        <w:t xml:space="preserve">, at least in our understanding, requirements for serving cell in current specification can be used as a starting point for intra-frequency non-serving cell measurement requirements. </w:t>
      </w:r>
      <w:r w:rsidR="00F274E0">
        <w:rPr>
          <w:rFonts w:eastAsiaTheme="minorEastAsia"/>
          <w:lang w:eastAsia="zh-CN"/>
        </w:rPr>
        <w:t>Also, given RAN1 agreed periodic, semi-persistent and aperiodic reporting are supported for non-serving cell L1 measurement, it can be expected the current specification structure for serving cell measurement can accommodate the requirements for non-serving cell measurements</w:t>
      </w:r>
      <w:r w:rsidR="0021621C">
        <w:rPr>
          <w:rFonts w:eastAsiaTheme="minorEastAsia"/>
          <w:lang w:eastAsia="zh-CN"/>
        </w:rPr>
        <w:t xml:space="preserve"> with corresponding updates. </w:t>
      </w:r>
    </w:p>
    <w:p w:rsidR="0021621C" w:rsidRDefault="0021621C" w:rsidP="00335A71">
      <w:pPr>
        <w:rPr>
          <w:rFonts w:eastAsiaTheme="minorEastAsia"/>
          <w:b/>
          <w:lang w:eastAsia="zh-CN"/>
        </w:rPr>
      </w:pPr>
      <w:r w:rsidRPr="0021621C">
        <w:rPr>
          <w:rFonts w:eastAsiaTheme="minorEastAsia"/>
          <w:b/>
          <w:lang w:eastAsia="zh-CN"/>
        </w:rPr>
        <w:t xml:space="preserve">Proposal </w:t>
      </w:r>
      <w:r w:rsidR="006D2E2C">
        <w:rPr>
          <w:rFonts w:eastAsiaTheme="minorEastAsia"/>
          <w:b/>
          <w:lang w:eastAsia="zh-CN"/>
        </w:rPr>
        <w:t>2</w:t>
      </w:r>
      <w:r w:rsidRPr="0021621C">
        <w:rPr>
          <w:rFonts w:eastAsiaTheme="minorEastAsia"/>
          <w:b/>
          <w:lang w:eastAsia="zh-CN"/>
        </w:rPr>
        <w:t xml:space="preserve">: Specify the L1 non-serving cell measurement requirements under current specification structure without introducing additional sections or sub-clauses. </w:t>
      </w:r>
    </w:p>
    <w:p w:rsidR="0021621C" w:rsidRDefault="0021621C" w:rsidP="00335A71">
      <w:pPr>
        <w:rPr>
          <w:rFonts w:eastAsiaTheme="minorEastAsia"/>
          <w:b/>
          <w:lang w:eastAsia="zh-CN"/>
        </w:rPr>
      </w:pPr>
      <w:r>
        <w:rPr>
          <w:rFonts w:eastAsiaTheme="minorEastAsia"/>
          <w:b/>
          <w:lang w:eastAsia="zh-CN"/>
        </w:rPr>
        <w:t xml:space="preserve">Proposal </w:t>
      </w:r>
      <w:r w:rsidR="006D2E2C">
        <w:rPr>
          <w:rFonts w:eastAsiaTheme="minorEastAsia"/>
          <w:b/>
          <w:lang w:eastAsia="zh-CN"/>
        </w:rPr>
        <w:t>3</w:t>
      </w:r>
      <w:r>
        <w:rPr>
          <w:rFonts w:eastAsiaTheme="minorEastAsia"/>
          <w:b/>
          <w:lang w:eastAsia="zh-CN"/>
        </w:rPr>
        <w:t xml:space="preserve">: RAN4 can use the requirements for serving cell as starting point for non-serving cell measurements. </w:t>
      </w:r>
    </w:p>
    <w:p w:rsidR="00B12C0F" w:rsidRDefault="006D2E2C" w:rsidP="006D2E2C">
      <w:r>
        <w:rPr>
          <w:rFonts w:eastAsiaTheme="minorEastAsia"/>
          <w:lang w:eastAsia="zh-CN"/>
        </w:rPr>
        <w:lastRenderedPageBreak/>
        <w:t xml:space="preserve">In current </w:t>
      </w:r>
      <w:r>
        <w:rPr>
          <w:rFonts w:eastAsiaTheme="minorEastAsia" w:hint="eastAsia"/>
          <w:lang w:eastAsia="zh-CN"/>
        </w:rPr>
        <w:t>specification,</w:t>
      </w:r>
      <w:r>
        <w:rPr>
          <w:rFonts w:eastAsiaTheme="minorEastAsia"/>
          <w:lang w:eastAsia="zh-CN"/>
        </w:rPr>
        <w:t xml:space="preserve"> the measurement period for serving cell is defined considering the measurement restriction in SMTC and also the acknowledged timing information for serving cells. For non-serving cell, unfortunately, </w:t>
      </w:r>
      <w:r w:rsidR="00B12C0F">
        <w:t xml:space="preserve">there is no much progress in RAN1 </w:t>
      </w:r>
      <w:r w:rsidR="00B12C0F">
        <w:rPr>
          <w:rFonts w:asciiTheme="minorEastAsia" w:eastAsiaTheme="minorEastAsia" w:hAnsiTheme="minorEastAsia" w:hint="eastAsia"/>
          <w:lang w:eastAsia="zh-CN"/>
        </w:rPr>
        <w:t>#</w:t>
      </w:r>
      <w:r w:rsidR="00B12C0F">
        <w:t xml:space="preserve">106 and RAN1 #106bis meeting related to L1-RSRP non-serving cell measurement especially for whether to restrict the non-serving cell measurement within SMTC and also the timing reception assumption for non-serving cell. </w:t>
      </w:r>
    </w:p>
    <w:tbl>
      <w:tblPr>
        <w:tblStyle w:val="aff0"/>
        <w:tblW w:w="0" w:type="auto"/>
        <w:tblLook w:val="04A0" w:firstRow="1" w:lastRow="0" w:firstColumn="1" w:lastColumn="0" w:noHBand="0" w:noVBand="1"/>
      </w:tblPr>
      <w:tblGrid>
        <w:gridCol w:w="9631"/>
      </w:tblGrid>
      <w:tr w:rsidR="00B12C0F" w:rsidTr="00015419">
        <w:tc>
          <w:tcPr>
            <w:tcW w:w="9631" w:type="dxa"/>
          </w:tcPr>
          <w:p w:rsidR="00B12C0F" w:rsidRPr="00A70D88" w:rsidRDefault="00B12C0F" w:rsidP="00015419">
            <w:pPr>
              <w:rPr>
                <w:b/>
                <w:bCs/>
                <w:lang w:eastAsia="x-none"/>
              </w:rPr>
            </w:pPr>
            <w:r w:rsidRPr="00A70D88">
              <w:rPr>
                <w:b/>
                <w:bCs/>
                <w:lang w:eastAsia="x-none"/>
              </w:rPr>
              <w:t>Conclusion</w:t>
            </w:r>
          </w:p>
          <w:p w:rsidR="00B12C0F" w:rsidRPr="00B12C0F" w:rsidRDefault="00B12C0F" w:rsidP="00015419">
            <w:pPr>
              <w:snapToGrid w:val="0"/>
              <w:jc w:val="both"/>
              <w:rPr>
                <w:sz w:val="22"/>
              </w:rPr>
            </w:pPr>
            <w:bookmarkStart w:id="5" w:name="_Hlk84843602"/>
            <w:r w:rsidRPr="00A70D88">
              <w:t xml:space="preserve">On Rel-17 enhancements for inter-cell beam management and inter-cell mTRP, </w:t>
            </w:r>
            <w:bookmarkEnd w:id="5"/>
            <w:r w:rsidRPr="00A70D88">
              <w:rPr>
                <w:rFonts w:eastAsia="宋体"/>
              </w:rPr>
              <w:t xml:space="preserve">there is no consensus in RAN1 </w:t>
            </w:r>
            <w:r w:rsidRPr="00A70D88">
              <w:t>on UE timing assumption on reception of signals from TRPs with PCIs different from the serving cell compared to that for serving cell</w:t>
            </w:r>
          </w:p>
        </w:tc>
      </w:tr>
    </w:tbl>
    <w:p w:rsidR="00B12C0F" w:rsidRDefault="00B12C0F" w:rsidP="00335A71">
      <w:pPr>
        <w:rPr>
          <w:rFonts w:eastAsiaTheme="minorEastAsia"/>
          <w:lang w:eastAsia="zh-CN"/>
        </w:rPr>
      </w:pPr>
    </w:p>
    <w:p w:rsidR="00B12C0F" w:rsidRDefault="0022583E" w:rsidP="00335A71">
      <w:pPr>
        <w:rPr>
          <w:rFonts w:eastAsiaTheme="minorEastAsia"/>
          <w:lang w:eastAsia="zh-CN"/>
        </w:rPr>
      </w:pPr>
      <w:r>
        <w:rPr>
          <w:rFonts w:eastAsiaTheme="minorEastAsia"/>
          <w:lang w:eastAsia="zh-CN"/>
        </w:rPr>
        <w:t xml:space="preserve">Assuming the RAN1 decision is either </w:t>
      </w:r>
      <w:r>
        <w:rPr>
          <w:rFonts w:eastAsiaTheme="minorEastAsia" w:hint="eastAsia"/>
          <w:lang w:eastAsia="zh-CN"/>
        </w:rPr>
        <w:t>restrict</w:t>
      </w:r>
      <w:r>
        <w:rPr>
          <w:rFonts w:eastAsiaTheme="minorEastAsia"/>
          <w:lang w:eastAsia="zh-CN"/>
        </w:rPr>
        <w:t xml:space="preserve"> non-serving measurement within SMTC or outside SMTC, without stable RAN1 agreement, RAN4 can still slow start the discussion for measurement period for non-serving cell measurement. Actually, there </w:t>
      </w:r>
      <w:r w:rsidR="00015419">
        <w:rPr>
          <w:rFonts w:eastAsiaTheme="minorEastAsia"/>
          <w:lang w:eastAsia="zh-CN"/>
        </w:rPr>
        <w:t xml:space="preserve">were some agreements in previous RAN4 meeting, i.e., </w:t>
      </w:r>
    </w:p>
    <w:tbl>
      <w:tblPr>
        <w:tblStyle w:val="aff0"/>
        <w:tblW w:w="0" w:type="auto"/>
        <w:tblLook w:val="04A0" w:firstRow="1" w:lastRow="0" w:firstColumn="1" w:lastColumn="0" w:noHBand="0" w:noVBand="1"/>
      </w:tblPr>
      <w:tblGrid>
        <w:gridCol w:w="9631"/>
      </w:tblGrid>
      <w:tr w:rsidR="00015419" w:rsidTr="00015419">
        <w:tc>
          <w:tcPr>
            <w:tcW w:w="9631" w:type="dxa"/>
          </w:tcPr>
          <w:p w:rsidR="00015419" w:rsidRPr="00015419" w:rsidRDefault="00015419" w:rsidP="00015419">
            <w:pPr>
              <w:numPr>
                <w:ilvl w:val="0"/>
                <w:numId w:val="39"/>
              </w:numPr>
              <w:rPr>
                <w:rFonts w:eastAsiaTheme="minorEastAsia"/>
                <w:lang w:eastAsia="zh-CN"/>
              </w:rPr>
            </w:pPr>
            <w:r w:rsidRPr="00015419">
              <w:rPr>
                <w:rFonts w:eastAsiaTheme="minorEastAsia" w:hint="eastAsia"/>
                <w:lang w:eastAsia="zh-CN"/>
              </w:rPr>
              <w:t>In RAN4 #99e meeting, RAN4 discussed the UE behavior, performance and UE complexity for supporting non-serving cell measurement. RAN4 will further discuss the non-serving cell measurement in the context of L1/L2 centric inter-cell mobility considering the followings in the future RAN4 meetings:</w:t>
            </w:r>
          </w:p>
          <w:p w:rsidR="00015419" w:rsidRPr="00015419" w:rsidRDefault="00015419" w:rsidP="00015419">
            <w:pPr>
              <w:numPr>
                <w:ilvl w:val="1"/>
                <w:numId w:val="39"/>
              </w:numPr>
              <w:rPr>
                <w:rFonts w:eastAsiaTheme="minorEastAsia"/>
                <w:lang w:eastAsia="zh-CN"/>
              </w:rPr>
            </w:pPr>
            <w:r w:rsidRPr="00015419">
              <w:rPr>
                <w:rFonts w:eastAsiaTheme="minorEastAsia" w:hint="eastAsia"/>
                <w:lang w:eastAsia="zh-CN"/>
              </w:rPr>
              <w:t xml:space="preserve">For the case when the measurement RS from the non-serving cell is within SMTC, in FR1, legacy measurement behavior based on L3 measurement may be reused from RAN4 perspective. </w:t>
            </w:r>
          </w:p>
          <w:p w:rsidR="00015419" w:rsidRPr="00015419" w:rsidRDefault="00015419" w:rsidP="00015419">
            <w:pPr>
              <w:numPr>
                <w:ilvl w:val="2"/>
                <w:numId w:val="39"/>
              </w:numPr>
              <w:rPr>
                <w:rFonts w:eastAsiaTheme="minorEastAsia"/>
                <w:lang w:eastAsia="zh-CN"/>
              </w:rPr>
            </w:pPr>
            <w:r w:rsidRPr="00015419">
              <w:rPr>
                <w:rFonts w:eastAsiaTheme="minorEastAsia" w:hint="eastAsia"/>
                <w:lang w:eastAsia="zh-CN"/>
              </w:rPr>
              <w:t>RAN4 will continue to evaluate the impact on a longer measurement delay due to sharing of SMTC window by L1 and L3 measurements.</w:t>
            </w:r>
          </w:p>
          <w:p w:rsidR="00015419" w:rsidRPr="00015419" w:rsidRDefault="00015419" w:rsidP="00015419">
            <w:pPr>
              <w:numPr>
                <w:ilvl w:val="1"/>
                <w:numId w:val="39"/>
              </w:numPr>
              <w:rPr>
                <w:rFonts w:eastAsiaTheme="minorEastAsia"/>
                <w:lang w:eastAsia="zh-CN"/>
              </w:rPr>
            </w:pPr>
            <w:r w:rsidRPr="00015419">
              <w:rPr>
                <w:rFonts w:eastAsiaTheme="minorEastAsia" w:hint="eastAsia"/>
                <w:lang w:eastAsia="zh-CN"/>
              </w:rPr>
              <w:t>For the case when the measurement RS from the non-serving cell is outside SMTC and within SMTC, performance degradation or increased UE complexity may be expected</w:t>
            </w:r>
          </w:p>
          <w:p w:rsidR="00015419" w:rsidRPr="00015419" w:rsidRDefault="00015419" w:rsidP="00015419">
            <w:pPr>
              <w:numPr>
                <w:ilvl w:val="2"/>
                <w:numId w:val="39"/>
              </w:numPr>
              <w:rPr>
                <w:rFonts w:eastAsiaTheme="minorEastAsia"/>
                <w:lang w:eastAsia="zh-CN"/>
              </w:rPr>
            </w:pPr>
            <w:r w:rsidRPr="00015419">
              <w:rPr>
                <w:rFonts w:eastAsiaTheme="minorEastAsia" w:hint="eastAsia"/>
                <w:lang w:eastAsia="zh-CN"/>
              </w:rPr>
              <w:t>To consider concurrent serving cell PDSCH/PDCCH reception and neighbor SSB based L1 measurement outside SMTC, RAN4 needs more time to study on the impacts on performance degradation and UE complexity.</w:t>
            </w:r>
          </w:p>
          <w:p w:rsidR="00015419" w:rsidRPr="00015419" w:rsidRDefault="00015419" w:rsidP="00335A71">
            <w:pPr>
              <w:numPr>
                <w:ilvl w:val="2"/>
                <w:numId w:val="39"/>
              </w:numPr>
              <w:rPr>
                <w:rFonts w:eastAsiaTheme="minorEastAsia" w:hint="eastAsia"/>
                <w:b/>
                <w:lang w:val="en-US" w:eastAsia="zh-CN"/>
              </w:rPr>
            </w:pPr>
            <w:r w:rsidRPr="00015419">
              <w:rPr>
                <w:rFonts w:eastAsiaTheme="minorEastAsia" w:hint="eastAsia"/>
                <w:lang w:eastAsia="zh-CN"/>
              </w:rPr>
              <w:t xml:space="preserve">Note: existing UE feature simultaneousRxDataSSB-DiffNumerology is aimed for concurrent intra-frequency measurement on serving cell or neighbouring cell and PDCCH or PDSCH reception. </w:t>
            </w:r>
          </w:p>
        </w:tc>
      </w:tr>
    </w:tbl>
    <w:p w:rsidR="00015419" w:rsidRPr="00015419" w:rsidRDefault="00015419" w:rsidP="00335A71">
      <w:pPr>
        <w:rPr>
          <w:rFonts w:eastAsiaTheme="minorEastAsia"/>
          <w:lang w:eastAsia="zh-CN"/>
        </w:rPr>
      </w:pPr>
    </w:p>
    <w:p w:rsidR="00FC5B86" w:rsidRDefault="00FF556C" w:rsidP="00FC5B86">
      <w:pPr>
        <w:rPr>
          <w:rFonts w:eastAsiaTheme="minorEastAsia"/>
          <w:lang w:eastAsia="zh-CN"/>
        </w:rPr>
      </w:pPr>
      <w:r>
        <w:rPr>
          <w:rFonts w:eastAsiaTheme="minorEastAsia"/>
          <w:lang w:eastAsia="zh-CN"/>
        </w:rPr>
        <w:t xml:space="preserve">Based on above understanding, at least for FR1, if SSB based L1 measurement can be restrict within SMTC, </w:t>
      </w:r>
      <w:r w:rsidR="00FC5B86">
        <w:rPr>
          <w:rFonts w:eastAsiaTheme="minorEastAsia"/>
          <w:lang w:eastAsia="zh-CN"/>
        </w:rPr>
        <w:t xml:space="preserve">UE can perform L1-RSRP </w:t>
      </w:r>
      <w:r w:rsidR="00FC5B86">
        <w:rPr>
          <w:rFonts w:eastAsiaTheme="minorEastAsia" w:hint="eastAsia"/>
          <w:lang w:eastAsia="zh-CN"/>
        </w:rPr>
        <w:t>of</w:t>
      </w:r>
      <w:r w:rsidR="00FC5B86">
        <w:rPr>
          <w:rFonts w:eastAsiaTheme="minorEastAsia"/>
          <w:lang w:eastAsia="zh-CN"/>
        </w:rPr>
        <w:t xml:space="preserve"> non-serving cell and L3 measurement simultaneously. Therefore, at least for FR1, RAN4 can start the discussions on specifying the L1-RSRP measurement requirements for the case non-serving cell SSB is fully overlapped with SMTC. The existing requirements for L1 serving cell measurement can be reused as baseline for such case. For FR2, it was agreed that </w:t>
      </w:r>
      <w:r w:rsidR="00FC5B86" w:rsidRPr="00FC5B86">
        <w:rPr>
          <w:rFonts w:eastAsiaTheme="minorEastAsia"/>
          <w:lang w:eastAsia="zh-CN"/>
        </w:rPr>
        <w:t>single panel</w:t>
      </w:r>
      <w:r w:rsidR="00FC5B86">
        <w:rPr>
          <w:rFonts w:eastAsiaTheme="minorEastAsia"/>
          <w:lang w:eastAsia="zh-CN"/>
        </w:rPr>
        <w:t xml:space="preserve"> FR2 UE </w:t>
      </w:r>
      <w:r w:rsidR="00FC5B86" w:rsidRPr="00FC5B86">
        <w:rPr>
          <w:rFonts w:eastAsiaTheme="minorEastAsia"/>
          <w:lang w:eastAsia="zh-CN"/>
        </w:rPr>
        <w:t xml:space="preserve">only measure L1-RSRP from one single cell at a time. </w:t>
      </w:r>
      <w:r w:rsidR="00FC5B86">
        <w:rPr>
          <w:rFonts w:eastAsiaTheme="minorEastAsia"/>
          <w:lang w:eastAsia="zh-CN"/>
        </w:rPr>
        <w:t>Considering above assumption, RAN4 can start the discussion for non-serving cell L1 measurement</w:t>
      </w:r>
      <w:r w:rsidR="007F52E6">
        <w:rPr>
          <w:rFonts w:eastAsiaTheme="minorEastAsia"/>
          <w:lang w:eastAsia="zh-CN"/>
        </w:rPr>
        <w:t xml:space="preserve"> at least</w:t>
      </w:r>
      <w:r w:rsidR="00FC5B86">
        <w:rPr>
          <w:rFonts w:eastAsiaTheme="minorEastAsia"/>
          <w:lang w:eastAsia="zh-CN"/>
        </w:rPr>
        <w:t xml:space="preserve"> including side condition</w:t>
      </w:r>
      <w:r w:rsidR="007F52E6">
        <w:rPr>
          <w:rFonts w:eastAsiaTheme="minorEastAsia"/>
          <w:lang w:eastAsia="zh-CN"/>
        </w:rPr>
        <w:t xml:space="preserve"> and </w:t>
      </w:r>
      <w:r w:rsidR="00FC5B86">
        <w:rPr>
          <w:rFonts w:eastAsiaTheme="minorEastAsia"/>
          <w:lang w:eastAsia="zh-CN"/>
        </w:rPr>
        <w:t>measurement period</w:t>
      </w:r>
      <w:r w:rsidR="007F52E6">
        <w:rPr>
          <w:rFonts w:eastAsiaTheme="minorEastAsia"/>
          <w:lang w:eastAsia="zh-CN"/>
        </w:rPr>
        <w:t xml:space="preserve">. </w:t>
      </w:r>
    </w:p>
    <w:p w:rsidR="00015419" w:rsidRDefault="00015419" w:rsidP="00335A71">
      <w:pPr>
        <w:rPr>
          <w:rFonts w:eastAsiaTheme="minorEastAsia"/>
          <w:b/>
          <w:lang w:eastAsia="zh-CN"/>
        </w:rPr>
      </w:pPr>
      <w:r w:rsidRPr="00015419">
        <w:rPr>
          <w:rFonts w:eastAsiaTheme="minorEastAsia"/>
          <w:b/>
          <w:lang w:eastAsia="zh-CN"/>
        </w:rPr>
        <w:t xml:space="preserve">Proposal 4: </w:t>
      </w:r>
      <w:r w:rsidR="006122A9">
        <w:rPr>
          <w:rFonts w:eastAsiaTheme="minorEastAsia"/>
          <w:b/>
          <w:lang w:eastAsia="zh-CN"/>
        </w:rPr>
        <w:t>RAN4 can start the discussion</w:t>
      </w:r>
      <w:r w:rsidRPr="00015419">
        <w:rPr>
          <w:rFonts w:eastAsiaTheme="minorEastAsia"/>
          <w:b/>
          <w:lang w:eastAsia="zh-CN"/>
        </w:rPr>
        <w:t xml:space="preserve"> </w:t>
      </w:r>
      <w:r w:rsidR="007F52E6">
        <w:rPr>
          <w:rFonts w:eastAsiaTheme="minorEastAsia"/>
          <w:b/>
          <w:lang w:eastAsia="zh-CN"/>
        </w:rPr>
        <w:t xml:space="preserve">on side condition and measurement period </w:t>
      </w:r>
      <w:r w:rsidRPr="00015419">
        <w:rPr>
          <w:rFonts w:eastAsiaTheme="minorEastAsia"/>
          <w:b/>
          <w:lang w:eastAsia="zh-CN"/>
        </w:rPr>
        <w:t xml:space="preserve">for </w:t>
      </w:r>
      <w:r w:rsidR="00FC5B86">
        <w:rPr>
          <w:rFonts w:eastAsiaTheme="minorEastAsia"/>
          <w:b/>
          <w:lang w:eastAsia="zh-CN"/>
        </w:rPr>
        <w:t xml:space="preserve">SSB based </w:t>
      </w:r>
      <w:r w:rsidRPr="00015419">
        <w:rPr>
          <w:rFonts w:eastAsiaTheme="minorEastAsia"/>
          <w:b/>
          <w:lang w:eastAsia="zh-CN"/>
        </w:rPr>
        <w:t xml:space="preserve">non-serving cell L1 measurement </w:t>
      </w:r>
      <w:r w:rsidR="006122A9">
        <w:rPr>
          <w:rFonts w:eastAsiaTheme="minorEastAsia"/>
          <w:b/>
          <w:lang w:eastAsia="zh-CN"/>
        </w:rPr>
        <w:t>assuming</w:t>
      </w:r>
      <w:r w:rsidRPr="00015419">
        <w:rPr>
          <w:rFonts w:eastAsiaTheme="minorEastAsia"/>
          <w:b/>
          <w:lang w:eastAsia="zh-CN"/>
        </w:rPr>
        <w:t xml:space="preserve"> the non-serving cell L1 measurement within SMT</w:t>
      </w:r>
      <w:r w:rsidR="007F52E6">
        <w:rPr>
          <w:rFonts w:eastAsiaTheme="minorEastAsia"/>
          <w:b/>
          <w:lang w:eastAsia="zh-CN"/>
        </w:rPr>
        <w:t xml:space="preserve">C. The existing serving cell L1 measurement requirements can be used as baseline. </w:t>
      </w:r>
    </w:p>
    <w:p w:rsidR="00015419" w:rsidRPr="006122A9" w:rsidRDefault="007F52E6" w:rsidP="00335A71">
      <w:pPr>
        <w:rPr>
          <w:rFonts w:eastAsiaTheme="minorEastAsia" w:hint="eastAsia"/>
          <w:b/>
          <w:lang w:eastAsia="zh-CN"/>
        </w:rPr>
      </w:pPr>
      <w:r>
        <w:rPr>
          <w:rFonts w:eastAsiaTheme="minorEastAsia"/>
          <w:lang w:eastAsia="zh-CN"/>
        </w:rPr>
        <w:t xml:space="preserve">For measurement within SMTC, more RAN1 decision is required to specify the requirements for measurement restriction and scheduling restriction. </w:t>
      </w:r>
      <w:r>
        <w:rPr>
          <w:rFonts w:eastAsiaTheme="minorEastAsia"/>
          <w:lang w:eastAsia="zh-CN"/>
        </w:rPr>
        <w:t>For measurement outside SMTC, it is better to start the discussion until the RAN1 reach stable decision.</w:t>
      </w:r>
      <w:r>
        <w:rPr>
          <w:rFonts w:eastAsiaTheme="minorEastAsia"/>
          <w:lang w:eastAsia="zh-CN"/>
        </w:rPr>
        <w:t xml:space="preserve"> Given the limited time remained in RAN4 to complete the WI in Rel-17 timeframe, it is suggested to send LS to RAN1 on the required decision to complete RAN4 requirements, e.g., non-serving cell within or outside SMTC, measurement restriction and scheduling restriction in this RAN4 meeting. In such LS, RAN1 shall be requested to decide the corresponding design in Nov meeting for RAN4 to complete corresponding requirements before March for core requirements. </w:t>
      </w:r>
    </w:p>
    <w:p w:rsidR="00335A71" w:rsidRDefault="00335A71" w:rsidP="00335A71">
      <w:pPr>
        <w:pStyle w:val="1"/>
        <w:rPr>
          <w:rFonts w:eastAsiaTheme="minorEastAsia"/>
          <w:lang w:eastAsia="zh-CN"/>
        </w:rPr>
      </w:pPr>
      <w:r>
        <w:rPr>
          <w:rFonts w:eastAsiaTheme="minorEastAsia" w:hint="eastAsia"/>
          <w:lang w:eastAsia="zh-CN"/>
        </w:rPr>
        <w:lastRenderedPageBreak/>
        <w:t>Co</w:t>
      </w:r>
      <w:r>
        <w:rPr>
          <w:rFonts w:eastAsiaTheme="minorEastAsia"/>
          <w:lang w:eastAsia="zh-CN"/>
        </w:rPr>
        <w:t xml:space="preserve">nclusion </w:t>
      </w:r>
    </w:p>
    <w:p w:rsidR="002E0EBA" w:rsidRDefault="002E0EBA" w:rsidP="002E0EBA">
      <w:pPr>
        <w:rPr>
          <w:rFonts w:eastAsia="宋体"/>
          <w:lang w:eastAsia="zh-CN"/>
        </w:rPr>
      </w:pPr>
      <w:r w:rsidRPr="002E0EBA">
        <w:rPr>
          <w:rFonts w:eastAsia="宋体" w:hint="eastAsia"/>
          <w:lang w:eastAsia="zh-CN"/>
        </w:rPr>
        <w:t>I</w:t>
      </w:r>
      <w:r w:rsidRPr="002E0EBA">
        <w:rPr>
          <w:rFonts w:eastAsia="宋体"/>
          <w:lang w:eastAsia="zh-CN"/>
        </w:rPr>
        <w:t>n this contributions, the following proposals have been provided based on the latest WID and other WG progress</w:t>
      </w:r>
    </w:p>
    <w:p w:rsidR="007F52E6" w:rsidRDefault="007F52E6" w:rsidP="007F52E6">
      <w:pPr>
        <w:rPr>
          <w:rFonts w:eastAsiaTheme="minorEastAsia"/>
          <w:b/>
          <w:lang w:eastAsia="zh-CN"/>
        </w:rPr>
      </w:pPr>
      <w:r w:rsidRPr="00B775E6">
        <w:rPr>
          <w:rFonts w:eastAsiaTheme="minorEastAsia" w:hint="eastAsia"/>
          <w:b/>
          <w:lang w:eastAsia="zh-CN"/>
        </w:rPr>
        <w:t>P</w:t>
      </w:r>
      <w:r w:rsidRPr="00B775E6">
        <w:rPr>
          <w:rFonts w:eastAsiaTheme="minorEastAsia"/>
          <w:b/>
          <w:lang w:eastAsia="zh-CN"/>
        </w:rPr>
        <w:t xml:space="preserve">roposal </w:t>
      </w:r>
      <w:r>
        <w:rPr>
          <w:rFonts w:eastAsiaTheme="minorEastAsia"/>
          <w:b/>
          <w:lang w:eastAsia="zh-CN"/>
        </w:rPr>
        <w:t>1</w:t>
      </w:r>
      <w:r w:rsidRPr="00B775E6">
        <w:rPr>
          <w:rFonts w:eastAsiaTheme="minorEastAsia"/>
          <w:b/>
          <w:lang w:eastAsia="zh-CN"/>
        </w:rPr>
        <w:t>: Measurements requirements for L1 non-serving cell measurement shall be applied provided the number of RS does not exceed the UE capability</w:t>
      </w:r>
    </w:p>
    <w:p w:rsidR="007F52E6" w:rsidRDefault="007F52E6" w:rsidP="007F52E6">
      <w:pPr>
        <w:rPr>
          <w:rFonts w:eastAsiaTheme="minorEastAsia"/>
          <w:b/>
          <w:lang w:eastAsia="zh-CN"/>
        </w:rPr>
      </w:pPr>
      <w:r w:rsidRPr="0021621C">
        <w:rPr>
          <w:rFonts w:eastAsiaTheme="minorEastAsia"/>
          <w:b/>
          <w:lang w:eastAsia="zh-CN"/>
        </w:rPr>
        <w:t xml:space="preserve">Proposal </w:t>
      </w:r>
      <w:r>
        <w:rPr>
          <w:rFonts w:eastAsiaTheme="minorEastAsia"/>
          <w:b/>
          <w:lang w:eastAsia="zh-CN"/>
        </w:rPr>
        <w:t>2</w:t>
      </w:r>
      <w:r w:rsidRPr="0021621C">
        <w:rPr>
          <w:rFonts w:eastAsiaTheme="minorEastAsia"/>
          <w:b/>
          <w:lang w:eastAsia="zh-CN"/>
        </w:rPr>
        <w:t xml:space="preserve">: Specify the L1 non-serving cell measurement requirements under current specification structure without introducing additional sections or sub-clauses. </w:t>
      </w:r>
    </w:p>
    <w:p w:rsidR="007F52E6" w:rsidRDefault="007F52E6" w:rsidP="007F52E6">
      <w:pPr>
        <w:rPr>
          <w:rFonts w:eastAsiaTheme="minorEastAsia"/>
          <w:b/>
          <w:lang w:eastAsia="zh-CN"/>
        </w:rPr>
      </w:pPr>
      <w:r>
        <w:rPr>
          <w:rFonts w:eastAsiaTheme="minorEastAsia"/>
          <w:b/>
          <w:lang w:eastAsia="zh-CN"/>
        </w:rPr>
        <w:t xml:space="preserve">Proposal 3: RAN4 can use the requirements for serving cell as starting point for non-serving cell measurements. </w:t>
      </w:r>
    </w:p>
    <w:p w:rsidR="007F52E6" w:rsidRDefault="007F52E6" w:rsidP="007F52E6">
      <w:pPr>
        <w:rPr>
          <w:rFonts w:eastAsiaTheme="minorEastAsia"/>
          <w:b/>
          <w:lang w:eastAsia="zh-CN"/>
        </w:rPr>
      </w:pPr>
      <w:r w:rsidRPr="00015419">
        <w:rPr>
          <w:rFonts w:eastAsiaTheme="minorEastAsia"/>
          <w:b/>
          <w:lang w:eastAsia="zh-CN"/>
        </w:rPr>
        <w:t xml:space="preserve">Proposal 4: </w:t>
      </w:r>
      <w:r>
        <w:rPr>
          <w:rFonts w:eastAsiaTheme="minorEastAsia"/>
          <w:b/>
          <w:lang w:eastAsia="zh-CN"/>
        </w:rPr>
        <w:t>RAN4 can start the discussion</w:t>
      </w:r>
      <w:r w:rsidRPr="00015419">
        <w:rPr>
          <w:rFonts w:eastAsiaTheme="minorEastAsia"/>
          <w:b/>
          <w:lang w:eastAsia="zh-CN"/>
        </w:rPr>
        <w:t xml:space="preserve"> </w:t>
      </w:r>
      <w:r>
        <w:rPr>
          <w:rFonts w:eastAsiaTheme="minorEastAsia"/>
          <w:b/>
          <w:lang w:eastAsia="zh-CN"/>
        </w:rPr>
        <w:t xml:space="preserve">on side condition and measurement period </w:t>
      </w:r>
      <w:r w:rsidRPr="00015419">
        <w:rPr>
          <w:rFonts w:eastAsiaTheme="minorEastAsia"/>
          <w:b/>
          <w:lang w:eastAsia="zh-CN"/>
        </w:rPr>
        <w:t xml:space="preserve">for </w:t>
      </w:r>
      <w:r>
        <w:rPr>
          <w:rFonts w:eastAsiaTheme="minorEastAsia"/>
          <w:b/>
          <w:lang w:eastAsia="zh-CN"/>
        </w:rPr>
        <w:t xml:space="preserve">SSB based </w:t>
      </w:r>
      <w:r w:rsidRPr="00015419">
        <w:rPr>
          <w:rFonts w:eastAsiaTheme="minorEastAsia"/>
          <w:b/>
          <w:lang w:eastAsia="zh-CN"/>
        </w:rPr>
        <w:t xml:space="preserve">non-serving cell L1 measurement </w:t>
      </w:r>
      <w:r>
        <w:rPr>
          <w:rFonts w:eastAsiaTheme="minorEastAsia"/>
          <w:b/>
          <w:lang w:eastAsia="zh-CN"/>
        </w:rPr>
        <w:t>assuming</w:t>
      </w:r>
      <w:r w:rsidRPr="00015419">
        <w:rPr>
          <w:rFonts w:eastAsiaTheme="minorEastAsia"/>
          <w:b/>
          <w:lang w:eastAsia="zh-CN"/>
        </w:rPr>
        <w:t xml:space="preserve"> the non-serving cell L1 measurement within SMT</w:t>
      </w:r>
      <w:r>
        <w:rPr>
          <w:rFonts w:eastAsiaTheme="minorEastAsia"/>
          <w:b/>
          <w:lang w:eastAsia="zh-CN"/>
        </w:rPr>
        <w:t xml:space="preserve">C. The existing serving cell L1 measurement requirements can be used as baseline. </w:t>
      </w:r>
    </w:p>
    <w:p w:rsidR="007F52E6" w:rsidRPr="007F52E6" w:rsidRDefault="007F52E6" w:rsidP="002E0EBA">
      <w:pPr>
        <w:rPr>
          <w:rFonts w:eastAsia="宋体"/>
          <w:lang w:eastAsia="zh-CN"/>
        </w:rPr>
      </w:pPr>
      <w:r>
        <w:rPr>
          <w:rFonts w:eastAsia="宋体"/>
          <w:lang w:eastAsia="zh-CN"/>
        </w:rPr>
        <w:t xml:space="preserve">It is also suggested to send LS to RAN1 </w:t>
      </w:r>
      <w:r w:rsidR="00CA6414">
        <w:rPr>
          <w:rFonts w:eastAsia="宋体"/>
          <w:lang w:eastAsia="zh-CN"/>
        </w:rPr>
        <w:t xml:space="preserve">to ask stable feature design related to RAN4 requirements before RAN4 Feb meeting. </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6D4E4A">
        <w:rPr>
          <w:rFonts w:eastAsia="宋体" w:hint="eastAsia"/>
          <w:lang w:val="en-US" w:eastAsia="zh-CN"/>
        </w:rPr>
        <w:t>R</w:t>
      </w:r>
      <w:r w:rsidR="006D4E4A">
        <w:rPr>
          <w:rFonts w:eastAsia="宋体"/>
          <w:lang w:val="en-US" w:eastAsia="zh-CN"/>
        </w:rPr>
        <w:t>4</w:t>
      </w:r>
      <w:r w:rsidR="006D4E4A">
        <w:rPr>
          <w:rFonts w:eastAsia="宋体" w:hint="eastAsia"/>
          <w:lang w:val="en-US" w:eastAsia="zh-CN"/>
        </w:rPr>
        <w:t>-2</w:t>
      </w:r>
      <w:r w:rsidR="006D4E4A">
        <w:rPr>
          <w:rFonts w:eastAsia="宋体"/>
          <w:lang w:val="en-US" w:eastAsia="zh-CN"/>
        </w:rPr>
        <w:t>1</w:t>
      </w:r>
      <w:r w:rsidR="00214498">
        <w:rPr>
          <w:rFonts w:eastAsia="宋体"/>
          <w:lang w:val="en-US" w:eastAsia="zh-CN"/>
        </w:rPr>
        <w:t>15355</w:t>
      </w:r>
      <w:r w:rsidR="008C1345" w:rsidRPr="008C1345">
        <w:rPr>
          <w:rFonts w:eastAsia="宋体"/>
          <w:lang w:val="en-US" w:eastAsia="zh-CN"/>
        </w:rPr>
        <w:t xml:space="preserve">, </w:t>
      </w:r>
      <w:r w:rsidR="00214498" w:rsidRPr="00214498">
        <w:rPr>
          <w:rFonts w:eastAsia="宋体"/>
          <w:lang w:val="en-US" w:eastAsia="zh-CN"/>
        </w:rPr>
        <w:t>WF for FeMIMO RRM</w:t>
      </w:r>
      <w:r w:rsidR="006D4E4A" w:rsidRPr="00214498">
        <w:rPr>
          <w:rFonts w:eastAsia="宋体"/>
          <w:lang w:val="en-US" w:eastAsia="zh-CN"/>
        </w:rPr>
        <w:t>, Samsung</w:t>
      </w:r>
    </w:p>
    <w:p w:rsidR="00214498" w:rsidRPr="006D4E4A" w:rsidRDefault="00214498" w:rsidP="00214498">
      <w:pPr>
        <w:pStyle w:val="25"/>
        <w:ind w:leftChars="-10" w:left="264"/>
        <w:rPr>
          <w:rFonts w:eastAsia="宋体"/>
          <w:lang w:eastAsia="zh-CN"/>
        </w:rPr>
      </w:pPr>
    </w:p>
    <w:p w:rsidR="006D4E4A" w:rsidRPr="006D4E4A" w:rsidRDefault="006D4E4A" w:rsidP="00F85B5A">
      <w:pPr>
        <w:pStyle w:val="25"/>
        <w:ind w:leftChars="-10" w:left="264"/>
        <w:rPr>
          <w:rFonts w:eastAsia="宋体"/>
          <w:lang w:eastAsia="zh-CN"/>
        </w:rPr>
      </w:pPr>
    </w:p>
    <w:sectPr w:rsidR="006D4E4A" w:rsidRPr="006D4E4A"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142" w:rsidRDefault="009D2142">
      <w:r>
        <w:separator/>
      </w:r>
    </w:p>
  </w:endnote>
  <w:endnote w:type="continuationSeparator" w:id="0">
    <w:p w:rsidR="009D2142" w:rsidRDefault="009D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notTrueType/>
    <w:pitch w:val="variable"/>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419" w:rsidRDefault="00015419" w:rsidP="002D07B9">
    <w:pPr>
      <w:pStyle w:val="a5"/>
    </w:pPr>
  </w:p>
  <w:p w:rsidR="00015419" w:rsidRDefault="00015419" w:rsidP="002D07B9"/>
  <w:p w:rsidR="00015419" w:rsidRDefault="00015419" w:rsidP="002D07B9">
    <w:pPr>
      <w:pStyle w:val="a7"/>
    </w:pPr>
  </w:p>
  <w:p w:rsidR="00015419" w:rsidRDefault="00015419" w:rsidP="002D07B9"/>
  <w:p w:rsidR="00015419" w:rsidRDefault="0001541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1C078E">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1C078E">
      <w:rPr>
        <w:bCs/>
      </w:rPr>
      <w:t>3</w:t>
    </w:r>
    <w:r>
      <w:rPr>
        <w:b w:val="0"/>
        <w:bCs/>
        <w:sz w:val="24"/>
        <w:szCs w:val="24"/>
      </w:rPr>
      <w:fldChar w:fldCharType="end"/>
    </w:r>
  </w:p>
  <w:p w:rsidR="00015419" w:rsidRPr="002D07B9" w:rsidRDefault="0001541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142" w:rsidRDefault="009D2142">
      <w:r>
        <w:separator/>
      </w:r>
    </w:p>
  </w:footnote>
  <w:footnote w:type="continuationSeparator" w:id="0">
    <w:p w:rsidR="009D2142" w:rsidRDefault="009D2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0C77E2D"/>
    <w:multiLevelType w:val="hybridMultilevel"/>
    <w:tmpl w:val="F31C1DF6"/>
    <w:lvl w:ilvl="0" w:tplc="F750675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F303410"/>
    <w:multiLevelType w:val="hybridMultilevel"/>
    <w:tmpl w:val="0F4E9CB0"/>
    <w:lvl w:ilvl="0" w:tplc="8F926A1C">
      <w:start w:val="1"/>
      <w:numFmt w:val="bullet"/>
      <w:lvlText w:val="•"/>
      <w:lvlJc w:val="left"/>
      <w:pPr>
        <w:tabs>
          <w:tab w:val="num" w:pos="720"/>
        </w:tabs>
        <w:ind w:left="720" w:hanging="360"/>
      </w:pPr>
      <w:rPr>
        <w:rFonts w:ascii="Arial" w:hAnsi="Arial" w:hint="default"/>
      </w:rPr>
    </w:lvl>
    <w:lvl w:ilvl="1" w:tplc="3AEE4C78">
      <w:start w:val="1"/>
      <w:numFmt w:val="bullet"/>
      <w:lvlText w:val="•"/>
      <w:lvlJc w:val="left"/>
      <w:pPr>
        <w:tabs>
          <w:tab w:val="num" w:pos="1440"/>
        </w:tabs>
        <w:ind w:left="1440" w:hanging="360"/>
      </w:pPr>
      <w:rPr>
        <w:rFonts w:ascii="Arial" w:hAnsi="Arial" w:hint="default"/>
      </w:rPr>
    </w:lvl>
    <w:lvl w:ilvl="2" w:tplc="F718E424" w:tentative="1">
      <w:start w:val="1"/>
      <w:numFmt w:val="bullet"/>
      <w:lvlText w:val="•"/>
      <w:lvlJc w:val="left"/>
      <w:pPr>
        <w:tabs>
          <w:tab w:val="num" w:pos="2160"/>
        </w:tabs>
        <w:ind w:left="2160" w:hanging="360"/>
      </w:pPr>
      <w:rPr>
        <w:rFonts w:ascii="Arial" w:hAnsi="Arial" w:hint="default"/>
      </w:rPr>
    </w:lvl>
    <w:lvl w:ilvl="3" w:tplc="DB1AF3B0" w:tentative="1">
      <w:start w:val="1"/>
      <w:numFmt w:val="bullet"/>
      <w:lvlText w:val="•"/>
      <w:lvlJc w:val="left"/>
      <w:pPr>
        <w:tabs>
          <w:tab w:val="num" w:pos="2880"/>
        </w:tabs>
        <w:ind w:left="2880" w:hanging="360"/>
      </w:pPr>
      <w:rPr>
        <w:rFonts w:ascii="Arial" w:hAnsi="Arial" w:hint="default"/>
      </w:rPr>
    </w:lvl>
    <w:lvl w:ilvl="4" w:tplc="555C37D8" w:tentative="1">
      <w:start w:val="1"/>
      <w:numFmt w:val="bullet"/>
      <w:lvlText w:val="•"/>
      <w:lvlJc w:val="left"/>
      <w:pPr>
        <w:tabs>
          <w:tab w:val="num" w:pos="3600"/>
        </w:tabs>
        <w:ind w:left="3600" w:hanging="360"/>
      </w:pPr>
      <w:rPr>
        <w:rFonts w:ascii="Arial" w:hAnsi="Arial" w:hint="default"/>
      </w:rPr>
    </w:lvl>
    <w:lvl w:ilvl="5" w:tplc="E390A320" w:tentative="1">
      <w:start w:val="1"/>
      <w:numFmt w:val="bullet"/>
      <w:lvlText w:val="•"/>
      <w:lvlJc w:val="left"/>
      <w:pPr>
        <w:tabs>
          <w:tab w:val="num" w:pos="4320"/>
        </w:tabs>
        <w:ind w:left="4320" w:hanging="360"/>
      </w:pPr>
      <w:rPr>
        <w:rFonts w:ascii="Arial" w:hAnsi="Arial" w:hint="default"/>
      </w:rPr>
    </w:lvl>
    <w:lvl w:ilvl="6" w:tplc="7B04BFA4" w:tentative="1">
      <w:start w:val="1"/>
      <w:numFmt w:val="bullet"/>
      <w:lvlText w:val="•"/>
      <w:lvlJc w:val="left"/>
      <w:pPr>
        <w:tabs>
          <w:tab w:val="num" w:pos="5040"/>
        </w:tabs>
        <w:ind w:left="5040" w:hanging="360"/>
      </w:pPr>
      <w:rPr>
        <w:rFonts w:ascii="Arial" w:hAnsi="Arial" w:hint="default"/>
      </w:rPr>
    </w:lvl>
    <w:lvl w:ilvl="7" w:tplc="929601D2" w:tentative="1">
      <w:start w:val="1"/>
      <w:numFmt w:val="bullet"/>
      <w:lvlText w:val="•"/>
      <w:lvlJc w:val="left"/>
      <w:pPr>
        <w:tabs>
          <w:tab w:val="num" w:pos="5760"/>
        </w:tabs>
        <w:ind w:left="5760" w:hanging="360"/>
      </w:pPr>
      <w:rPr>
        <w:rFonts w:ascii="Arial" w:hAnsi="Arial" w:hint="default"/>
      </w:rPr>
    </w:lvl>
    <w:lvl w:ilvl="8" w:tplc="153011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312572"/>
    <w:multiLevelType w:val="hybridMultilevel"/>
    <w:tmpl w:val="951E48A8"/>
    <w:lvl w:ilvl="0" w:tplc="E640D68A">
      <w:start w:val="1"/>
      <w:numFmt w:val="bullet"/>
      <w:lvlText w:val="•"/>
      <w:lvlJc w:val="left"/>
      <w:pPr>
        <w:tabs>
          <w:tab w:val="num" w:pos="720"/>
        </w:tabs>
        <w:ind w:left="720" w:hanging="360"/>
      </w:pPr>
      <w:rPr>
        <w:rFonts w:ascii="Arial" w:hAnsi="Arial" w:hint="default"/>
      </w:rPr>
    </w:lvl>
    <w:lvl w:ilvl="1" w:tplc="E9D4ED78">
      <w:start w:val="16469"/>
      <w:numFmt w:val="bullet"/>
      <w:lvlText w:val="•"/>
      <w:lvlJc w:val="left"/>
      <w:pPr>
        <w:tabs>
          <w:tab w:val="num" w:pos="1440"/>
        </w:tabs>
        <w:ind w:left="1440" w:hanging="360"/>
      </w:pPr>
      <w:rPr>
        <w:rFonts w:ascii="Arial" w:hAnsi="Arial" w:hint="default"/>
      </w:rPr>
    </w:lvl>
    <w:lvl w:ilvl="2" w:tplc="D8C24D8E">
      <w:start w:val="16469"/>
      <w:numFmt w:val="bullet"/>
      <w:lvlText w:val="•"/>
      <w:lvlJc w:val="left"/>
      <w:pPr>
        <w:tabs>
          <w:tab w:val="num" w:pos="2160"/>
        </w:tabs>
        <w:ind w:left="2160" w:hanging="360"/>
      </w:pPr>
      <w:rPr>
        <w:rFonts w:ascii="Arial" w:hAnsi="Arial" w:hint="default"/>
      </w:rPr>
    </w:lvl>
    <w:lvl w:ilvl="3" w:tplc="BF06C45A" w:tentative="1">
      <w:start w:val="1"/>
      <w:numFmt w:val="bullet"/>
      <w:lvlText w:val="•"/>
      <w:lvlJc w:val="left"/>
      <w:pPr>
        <w:tabs>
          <w:tab w:val="num" w:pos="2880"/>
        </w:tabs>
        <w:ind w:left="2880" w:hanging="360"/>
      </w:pPr>
      <w:rPr>
        <w:rFonts w:ascii="Arial" w:hAnsi="Arial" w:hint="default"/>
      </w:rPr>
    </w:lvl>
    <w:lvl w:ilvl="4" w:tplc="38C2E346" w:tentative="1">
      <w:start w:val="1"/>
      <w:numFmt w:val="bullet"/>
      <w:lvlText w:val="•"/>
      <w:lvlJc w:val="left"/>
      <w:pPr>
        <w:tabs>
          <w:tab w:val="num" w:pos="3600"/>
        </w:tabs>
        <w:ind w:left="3600" w:hanging="360"/>
      </w:pPr>
      <w:rPr>
        <w:rFonts w:ascii="Arial" w:hAnsi="Arial" w:hint="default"/>
      </w:rPr>
    </w:lvl>
    <w:lvl w:ilvl="5" w:tplc="996E7A8A" w:tentative="1">
      <w:start w:val="1"/>
      <w:numFmt w:val="bullet"/>
      <w:lvlText w:val="•"/>
      <w:lvlJc w:val="left"/>
      <w:pPr>
        <w:tabs>
          <w:tab w:val="num" w:pos="4320"/>
        </w:tabs>
        <w:ind w:left="4320" w:hanging="360"/>
      </w:pPr>
      <w:rPr>
        <w:rFonts w:ascii="Arial" w:hAnsi="Arial" w:hint="default"/>
      </w:rPr>
    </w:lvl>
    <w:lvl w:ilvl="6" w:tplc="A5961690" w:tentative="1">
      <w:start w:val="1"/>
      <w:numFmt w:val="bullet"/>
      <w:lvlText w:val="•"/>
      <w:lvlJc w:val="left"/>
      <w:pPr>
        <w:tabs>
          <w:tab w:val="num" w:pos="5040"/>
        </w:tabs>
        <w:ind w:left="5040" w:hanging="360"/>
      </w:pPr>
      <w:rPr>
        <w:rFonts w:ascii="Arial" w:hAnsi="Arial" w:hint="default"/>
      </w:rPr>
    </w:lvl>
    <w:lvl w:ilvl="7" w:tplc="14C42958" w:tentative="1">
      <w:start w:val="1"/>
      <w:numFmt w:val="bullet"/>
      <w:lvlText w:val="•"/>
      <w:lvlJc w:val="left"/>
      <w:pPr>
        <w:tabs>
          <w:tab w:val="num" w:pos="5760"/>
        </w:tabs>
        <w:ind w:left="5760" w:hanging="360"/>
      </w:pPr>
      <w:rPr>
        <w:rFonts w:ascii="Arial" w:hAnsi="Arial" w:hint="default"/>
      </w:rPr>
    </w:lvl>
    <w:lvl w:ilvl="8" w:tplc="9A7897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17"/>
  </w:num>
  <w:num w:numId="4">
    <w:abstractNumId w:val="36"/>
  </w:num>
  <w:num w:numId="5">
    <w:abstractNumId w:val="11"/>
  </w:num>
  <w:num w:numId="6">
    <w:abstractNumId w:val="5"/>
  </w:num>
  <w:num w:numId="7">
    <w:abstractNumId w:val="18"/>
  </w:num>
  <w:num w:numId="8">
    <w:abstractNumId w:val="1"/>
  </w:num>
  <w:num w:numId="9">
    <w:abstractNumId w:val="3"/>
  </w:num>
  <w:num w:numId="10">
    <w:abstractNumId w:val="34"/>
  </w:num>
  <w:num w:numId="11">
    <w:abstractNumId w:val="10"/>
  </w:num>
  <w:num w:numId="12">
    <w:abstractNumId w:val="25"/>
  </w:num>
  <w:num w:numId="13">
    <w:abstractNumId w:val="33"/>
  </w:num>
  <w:num w:numId="14">
    <w:abstractNumId w:val="16"/>
  </w:num>
  <w:num w:numId="15">
    <w:abstractNumId w:val="8"/>
  </w:num>
  <w:num w:numId="16">
    <w:abstractNumId w:val="12"/>
  </w:num>
  <w:num w:numId="17">
    <w:abstractNumId w:val="23"/>
  </w:num>
  <w:num w:numId="18">
    <w:abstractNumId w:val="20"/>
  </w:num>
  <w:num w:numId="19">
    <w:abstractNumId w:val="35"/>
  </w:num>
  <w:num w:numId="20">
    <w:abstractNumId w:val="2"/>
  </w:num>
  <w:num w:numId="21">
    <w:abstractNumId w:val="38"/>
  </w:num>
  <w:num w:numId="22">
    <w:abstractNumId w:val="28"/>
  </w:num>
  <w:num w:numId="23">
    <w:abstractNumId w:val="26"/>
  </w:num>
  <w:num w:numId="24">
    <w:abstractNumId w:val="31"/>
  </w:num>
  <w:num w:numId="25">
    <w:abstractNumId w:val="0"/>
  </w:num>
  <w:num w:numId="26">
    <w:abstractNumId w:val="4"/>
  </w:num>
  <w:num w:numId="27">
    <w:abstractNumId w:val="27"/>
  </w:num>
  <w:num w:numId="28">
    <w:abstractNumId w:val="29"/>
  </w:num>
  <w:num w:numId="29">
    <w:abstractNumId w:val="32"/>
  </w:num>
  <w:num w:numId="30">
    <w:abstractNumId w:val="14"/>
  </w:num>
  <w:num w:numId="31">
    <w:abstractNumId w:val="9"/>
  </w:num>
  <w:num w:numId="32">
    <w:abstractNumId w:val="6"/>
  </w:num>
  <w:num w:numId="33">
    <w:abstractNumId w:val="21"/>
  </w:num>
  <w:num w:numId="34">
    <w:abstractNumId w:val="19"/>
  </w:num>
  <w:num w:numId="35">
    <w:abstractNumId w:val="13"/>
  </w:num>
  <w:num w:numId="36">
    <w:abstractNumId w:val="22"/>
  </w:num>
  <w:num w:numId="37">
    <w:abstractNumId w:val="37"/>
  </w:num>
  <w:num w:numId="38">
    <w:abstractNumId w:val="30"/>
  </w:num>
  <w:num w:numId="39">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419"/>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E"/>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498"/>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83E"/>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50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2A9"/>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2C"/>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2E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142"/>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0F"/>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14"/>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2CA1"/>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118"/>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B86"/>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56C"/>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359BE"/>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落"/>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937440864">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86869281">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804925">
      <w:bodyDiv w:val="1"/>
      <w:marLeft w:val="0"/>
      <w:marRight w:val="0"/>
      <w:marTop w:val="0"/>
      <w:marBottom w:val="0"/>
      <w:divBdr>
        <w:top w:val="none" w:sz="0" w:space="0" w:color="auto"/>
        <w:left w:val="none" w:sz="0" w:space="0" w:color="auto"/>
        <w:bottom w:val="none" w:sz="0" w:space="0" w:color="auto"/>
        <w:right w:val="none" w:sz="0" w:space="0" w:color="auto"/>
      </w:divBdr>
      <w:divsChild>
        <w:div w:id="1663659834">
          <w:marLeft w:val="360"/>
          <w:marRight w:val="0"/>
          <w:marTop w:val="200"/>
          <w:marBottom w:val="0"/>
          <w:divBdr>
            <w:top w:val="none" w:sz="0" w:space="0" w:color="auto"/>
            <w:left w:val="none" w:sz="0" w:space="0" w:color="auto"/>
            <w:bottom w:val="none" w:sz="0" w:space="0" w:color="auto"/>
            <w:right w:val="none" w:sz="0" w:space="0" w:color="auto"/>
          </w:divBdr>
        </w:div>
        <w:div w:id="2052538198">
          <w:marLeft w:val="1080"/>
          <w:marRight w:val="0"/>
          <w:marTop w:val="100"/>
          <w:marBottom w:val="0"/>
          <w:divBdr>
            <w:top w:val="none" w:sz="0" w:space="0" w:color="auto"/>
            <w:left w:val="none" w:sz="0" w:space="0" w:color="auto"/>
            <w:bottom w:val="none" w:sz="0" w:space="0" w:color="auto"/>
            <w:right w:val="none" w:sz="0" w:space="0" w:color="auto"/>
          </w:divBdr>
        </w:div>
        <w:div w:id="1804884101">
          <w:marLeft w:val="1800"/>
          <w:marRight w:val="0"/>
          <w:marTop w:val="100"/>
          <w:marBottom w:val="0"/>
          <w:divBdr>
            <w:top w:val="none" w:sz="0" w:space="0" w:color="auto"/>
            <w:left w:val="none" w:sz="0" w:space="0" w:color="auto"/>
            <w:bottom w:val="none" w:sz="0" w:space="0" w:color="auto"/>
            <w:right w:val="none" w:sz="0" w:space="0" w:color="auto"/>
          </w:divBdr>
        </w:div>
        <w:div w:id="251665281">
          <w:marLeft w:val="1080"/>
          <w:marRight w:val="0"/>
          <w:marTop w:val="100"/>
          <w:marBottom w:val="0"/>
          <w:divBdr>
            <w:top w:val="none" w:sz="0" w:space="0" w:color="auto"/>
            <w:left w:val="none" w:sz="0" w:space="0" w:color="auto"/>
            <w:bottom w:val="none" w:sz="0" w:space="0" w:color="auto"/>
            <w:right w:val="none" w:sz="0" w:space="0" w:color="auto"/>
          </w:divBdr>
        </w:div>
        <w:div w:id="743650441">
          <w:marLeft w:val="1800"/>
          <w:marRight w:val="0"/>
          <w:marTop w:val="100"/>
          <w:marBottom w:val="0"/>
          <w:divBdr>
            <w:top w:val="none" w:sz="0" w:space="0" w:color="auto"/>
            <w:left w:val="none" w:sz="0" w:space="0" w:color="auto"/>
            <w:bottom w:val="none" w:sz="0" w:space="0" w:color="auto"/>
            <w:right w:val="none" w:sz="0" w:space="0" w:color="auto"/>
          </w:divBdr>
        </w:div>
        <w:div w:id="232742055">
          <w:marLeft w:val="180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7004293">
      <w:bodyDiv w:val="1"/>
      <w:marLeft w:val="0"/>
      <w:marRight w:val="0"/>
      <w:marTop w:val="0"/>
      <w:marBottom w:val="0"/>
      <w:divBdr>
        <w:top w:val="none" w:sz="0" w:space="0" w:color="auto"/>
        <w:left w:val="none" w:sz="0" w:space="0" w:color="auto"/>
        <w:bottom w:val="none" w:sz="0" w:space="0" w:color="auto"/>
        <w:right w:val="none" w:sz="0" w:space="0" w:color="auto"/>
      </w:divBdr>
      <w:divsChild>
        <w:div w:id="2132817870">
          <w:marLeft w:val="360"/>
          <w:marRight w:val="0"/>
          <w:marTop w:val="200"/>
          <w:marBottom w:val="0"/>
          <w:divBdr>
            <w:top w:val="none" w:sz="0" w:space="0" w:color="auto"/>
            <w:left w:val="none" w:sz="0" w:space="0" w:color="auto"/>
            <w:bottom w:val="none" w:sz="0" w:space="0" w:color="auto"/>
            <w:right w:val="none" w:sz="0" w:space="0" w:color="auto"/>
          </w:divBdr>
        </w:div>
        <w:div w:id="1500467428">
          <w:marLeft w:val="1080"/>
          <w:marRight w:val="0"/>
          <w:marTop w:val="100"/>
          <w:marBottom w:val="0"/>
          <w:divBdr>
            <w:top w:val="none" w:sz="0" w:space="0" w:color="auto"/>
            <w:left w:val="none" w:sz="0" w:space="0" w:color="auto"/>
            <w:bottom w:val="none" w:sz="0" w:space="0" w:color="auto"/>
            <w:right w:val="none" w:sz="0" w:space="0" w:color="auto"/>
          </w:divBdr>
        </w:div>
        <w:div w:id="929003712">
          <w:marLeft w:val="1800"/>
          <w:marRight w:val="0"/>
          <w:marTop w:val="100"/>
          <w:marBottom w:val="0"/>
          <w:divBdr>
            <w:top w:val="none" w:sz="0" w:space="0" w:color="auto"/>
            <w:left w:val="none" w:sz="0" w:space="0" w:color="auto"/>
            <w:bottom w:val="none" w:sz="0" w:space="0" w:color="auto"/>
            <w:right w:val="none" w:sz="0" w:space="0" w:color="auto"/>
          </w:divBdr>
        </w:div>
        <w:div w:id="622811037">
          <w:marLeft w:val="1080"/>
          <w:marRight w:val="0"/>
          <w:marTop w:val="100"/>
          <w:marBottom w:val="0"/>
          <w:divBdr>
            <w:top w:val="none" w:sz="0" w:space="0" w:color="auto"/>
            <w:left w:val="none" w:sz="0" w:space="0" w:color="auto"/>
            <w:bottom w:val="none" w:sz="0" w:space="0" w:color="auto"/>
            <w:right w:val="none" w:sz="0" w:space="0" w:color="auto"/>
          </w:divBdr>
        </w:div>
        <w:div w:id="24839320">
          <w:marLeft w:val="1800"/>
          <w:marRight w:val="0"/>
          <w:marTop w:val="100"/>
          <w:marBottom w:val="0"/>
          <w:divBdr>
            <w:top w:val="none" w:sz="0" w:space="0" w:color="auto"/>
            <w:left w:val="none" w:sz="0" w:space="0" w:color="auto"/>
            <w:bottom w:val="none" w:sz="0" w:space="0" w:color="auto"/>
            <w:right w:val="none" w:sz="0" w:space="0" w:color="auto"/>
          </w:divBdr>
        </w:div>
        <w:div w:id="1881934627">
          <w:marLeft w:val="1800"/>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4490E-103C-420C-8BB1-37E1390AC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7813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Samsung - Xutao</cp:lastModifiedBy>
  <cp:revision>2</cp:revision>
  <cp:lastPrinted>2010-01-07T02:23:00Z</cp:lastPrinted>
  <dcterms:created xsi:type="dcterms:W3CDTF">2021-10-22T14:32:00Z</dcterms:created>
  <dcterms:modified xsi:type="dcterms:W3CDTF">2021-10-22T14:32:00Z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NSCPROP_SA">
    <vt:lpwstr>C:\Users\xutao.zhou\AppData\Local\Microsoft\Windows\INetCache\IE\9HXNGF5Q\R4-21xxxxx_eMIMO_RF_InitalImpact_v0 (1).docx</vt:lpwstr>
  </property>
</Properties>
</file>